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Шпаргалка ИИ как помощник адресной проверки</w:t>
      </w:r>
    </w:p>
    <w:p>
      <w:r>
        <w:rPr>
          <w:b/>
        </w:rPr>
        <w:t>ИИ в строительстве: проверка ПД/РД, смет и поставщиков</w:t>
      </w:r>
    </w:p>
    <w:p>
      <w:r>
        <w:t>Любой запрос ниже можно выполнить вручную по той же таблице. Передавайте только разрешённые данные. Ответ ИИ остаётся черновиком проверки; он не утверждает техническое решение и не создаёт нормативного основания.</w:t>
      </w:r>
    </w:p>
    <w:p>
      <w:pPr>
        <w:pStyle w:val="Heading1"/>
      </w:pPr>
      <w:r>
        <w:t>Перед сравнением чисел пять проверок смысла</w:t>
      </w:r>
    </w:p>
    <w:p>
      <w:r>
        <w:t>Памятка помогает решить, можно ли вообще вычитать два значения. Это порядок подготовки данных, а не подтверждение технической пригодности.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/>
          <w:tblHeader/>
        </w:trPr>
        <w:tc>
          <w:tcPr>
            <w:tcW w:type="dxa" w:w="3203"/>
            <w:shd w:fill="E9F1EC"/>
          </w:tcPr>
          <w:p>
            <w:pPr>
              <w:spacing w:after="60" w:before="60"/>
            </w:pPr>
            <w:r>
              <w:rPr>
                <w:rFonts w:ascii="Arial" w:hAnsi="Arial"/>
                <w:b/>
                <w:sz w:val="21"/>
              </w:rPr>
              <w:t>Контрольный признак</w:t>
            </w:r>
          </w:p>
        </w:tc>
        <w:tc>
          <w:tcPr>
            <w:tcW w:type="dxa" w:w="3203"/>
            <w:shd w:fill="E9F1EC"/>
          </w:tcPr>
          <w:p>
            <w:pPr>
              <w:spacing w:after="60" w:before="60"/>
            </w:pPr>
            <w:r>
              <w:rPr>
                <w:rFonts w:ascii="Arial" w:hAnsi="Arial"/>
                <w:b/>
                <w:sz w:val="21"/>
              </w:rPr>
              <w:t>Что установить</w:t>
            </w:r>
          </w:p>
        </w:tc>
        <w:tc>
          <w:tcPr>
            <w:tcW w:type="dxa" w:w="3203"/>
            <w:shd w:fill="E9F1EC"/>
          </w:tcPr>
          <w:p>
            <w:pPr>
              <w:spacing w:after="60" w:before="60"/>
            </w:pPr>
            <w:r>
              <w:rPr>
                <w:rFonts w:ascii="Arial" w:hAnsi="Arial"/>
                <w:b/>
                <w:sz w:val="21"/>
              </w:rPr>
              <w:t>Действие при пробеле</w:t>
            </w:r>
          </w:p>
        </w:tc>
      </w:tr>
      <w:tr>
        <w:trPr>
          <w:cantSplit/>
        </w:trPr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Один объект и место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Совпадают блок, элемент и адрес применения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Не объединять строки только по похожей марке</w:t>
            </w:r>
          </w:p>
        </w:tc>
      </w:tr>
      <w:tr>
        <w:trPr>
          <w:cantSplit/>
        </w:trPr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Один смысл параметра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Центр, грань, низ и верх названы явно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Запросить точку приложения размера</w:t>
            </w:r>
          </w:p>
        </w:tc>
      </w:tr>
      <w:tr>
        <w:trPr>
          <w:cantSplit/>
        </w:trPr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Одна система отсчёта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Известны ось, ноль и преобразование баз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Сохранить обе базы; сравнение отложить до уточнения</w:t>
            </w:r>
          </w:p>
        </w:tc>
      </w:tr>
      <w:tr>
        <w:trPr>
          <w:cantSplit/>
        </w:trPr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Совместимые единицы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Исходные единицы сохранены; преобразование записано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Не подставлять единицу по соседней строке</w:t>
            </w:r>
          </w:p>
        </w:tc>
      </w:tr>
      <w:tr>
        <w:trPr>
          <w:cantSplit/>
        </w:trPr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Действующее основание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Для каждого значения установлены версия и фрагмент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Отметить неоднозначную версию отдельным вопросом</w:t>
            </w:r>
          </w:p>
        </w:tc>
      </w:tr>
    </w:tbl>
    <w:p>
      <w:r>
        <w:t>После этих проверок можно установить геометрический факт. Допустимость решения и достаточность зазора требуют собственного подтверждённого критерия.</w:t>
      </w:r>
    </w:p>
    <w:p>
      <w:pPr>
        <w:spacing w:after="180"/>
      </w:pPr>
      <w:r>
        <w:t>В курсе: Высотные отметки: абсолютная и относительная системы</w:t>
      </w:r>
    </w:p>
    <w:p>
      <w:pPr>
        <w:pStyle w:val="Heading1"/>
      </w:pPr>
      <w:r>
        <w:t>После распознавания куда направить сомнительную строку</w:t>
      </w:r>
    </w:p>
    <w:p>
      <w:r>
        <w:t>Выбирайте действие по причине неопределённости. Не превращайте все сомнения в ноль и не просите заново весь пакет.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/>
          <w:tblHeader/>
        </w:trPr>
        <w:tc>
          <w:tcPr>
            <w:tcW w:type="dxa" w:w="3203"/>
            <w:shd w:fill="E9F1EC"/>
          </w:tcPr>
          <w:p>
            <w:pPr>
              <w:spacing w:after="60" w:before="60"/>
            </w:pPr>
            <w:r>
              <w:rPr>
                <w:rFonts w:ascii="Arial" w:hAnsi="Arial"/>
                <w:b/>
                <w:sz w:val="21"/>
              </w:rPr>
              <w:t>Что обнаружено</w:t>
            </w:r>
          </w:p>
        </w:tc>
        <w:tc>
          <w:tcPr>
            <w:tcW w:type="dxa" w:w="3203"/>
            <w:shd w:fill="E9F1EC"/>
          </w:tcPr>
          <w:p>
            <w:pPr>
              <w:spacing w:after="60" w:before="60"/>
            </w:pPr>
            <w:r>
              <w:rPr>
                <w:rFonts w:ascii="Arial" w:hAnsi="Arial"/>
                <w:b/>
                <w:sz w:val="21"/>
              </w:rPr>
              <w:t>Что сохранить</w:t>
            </w:r>
          </w:p>
        </w:tc>
        <w:tc>
          <w:tcPr>
            <w:tcW w:type="dxa" w:w="3203"/>
            <w:shd w:fill="E9F1EC"/>
          </w:tcPr>
          <w:p>
            <w:pPr>
              <w:spacing w:after="60" w:before="60"/>
            </w:pPr>
            <w:r>
              <w:rPr>
                <w:rFonts w:ascii="Arial" w:hAnsi="Arial"/>
                <w:b/>
                <w:sz w:val="21"/>
              </w:rPr>
              <w:t>Как продолжить</w:t>
            </w:r>
          </w:p>
        </w:tc>
      </w:tr>
      <w:tr>
        <w:trPr>
          <w:cantSplit/>
        </w:trPr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Пустая ячейка внутри объединённого поля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Адрес строки и видимое объединение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Переносить значение только при подтверждённой структуре</w:t>
            </w:r>
          </w:p>
        </w:tc>
      </w:tr>
      <w:tr>
        <w:trPr>
          <w:cantSplit/>
        </w:trPr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Символ читается двумя способами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Оба возможных чтения и исходный фрагмент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Запросить конкретную ячейку; итог оставить частичным или диапазонным</w:t>
            </w:r>
          </w:p>
        </w:tc>
      </w:tr>
      <w:tr>
        <w:trPr>
          <w:cantSplit/>
        </w:trPr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Единица отсутствует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Число без придуманной единицы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Уточнить единицу до пересчёта</w:t>
            </w:r>
          </w:p>
        </w:tc>
      </w:tr>
      <w:tr>
        <w:trPr>
          <w:cantSplit/>
        </w:trPr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Похожие марки в разных зонах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Обе строки с полным адресом применения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Разделить идентичности до суммирования</w:t>
            </w:r>
          </w:p>
        </w:tc>
      </w:tr>
      <w:tr>
        <w:trPr>
          <w:cantSplit/>
        </w:trPr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Уверенный ответ не совпал с изображением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Первоначальный ответ и найденное расхождение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Исправить правило извлечения и проверить соседние строки</w:t>
            </w:r>
          </w:p>
        </w:tc>
      </w:tr>
    </w:tbl>
    <w:p>
      <w:r>
        <w:t>Подтверждение нового чтения — отдельное событие. После него пересчитываются затронутые строки, а прежняя неопределённость остаётся в истории.</w:t>
      </w:r>
    </w:p>
    <w:p>
      <w:pPr>
        <w:spacing w:after="180"/>
      </w:pPr>
      <w:r>
        <w:t>В курсе: Таблица после распознавания: пустая ячейка не всегда ноль</w:t>
      </w:r>
    </w:p>
    <w:p>
      <w:pPr>
        <w:pStyle w:val="Heading1"/>
      </w:pPr>
      <w:r>
        <w:t>Статус замечания определяется свидетельством</w:t>
      </w:r>
    </w:p>
    <w:p>
      <w:r>
        <w:t>Используйте для каждой адресной подстроки отдельно. Общий процент не заменяет разные незавершённые действия.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/>
          <w:tblHeader/>
        </w:trPr>
        <w:tc>
          <w:tcPr>
            <w:tcW w:type="dxa" w:w="3203"/>
            <w:shd w:fill="E9F1EC"/>
          </w:tcPr>
          <w:p>
            <w:pPr>
              <w:spacing w:after="60" w:before="60"/>
            </w:pPr>
            <w:r>
              <w:rPr>
                <w:rFonts w:ascii="Arial" w:hAnsi="Arial"/>
                <w:b/>
                <w:sz w:val="21"/>
              </w:rPr>
              <w:t>Состояние подстроки</w:t>
            </w:r>
          </w:p>
        </w:tc>
        <w:tc>
          <w:tcPr>
            <w:tcW w:type="dxa" w:w="3203"/>
            <w:shd w:fill="E9F1EC"/>
          </w:tcPr>
          <w:p>
            <w:pPr>
              <w:spacing w:after="60" w:before="60"/>
            </w:pPr>
            <w:r>
              <w:rPr>
                <w:rFonts w:ascii="Arial" w:hAnsi="Arial"/>
                <w:b/>
                <w:sz w:val="21"/>
              </w:rPr>
              <w:t>Достаточное основание для записи</w:t>
            </w:r>
          </w:p>
        </w:tc>
        <w:tc>
          <w:tcPr>
            <w:tcW w:type="dxa" w:w="3203"/>
            <w:shd w:fill="E9F1EC"/>
          </w:tcPr>
          <w:p>
            <w:pPr>
              <w:spacing w:after="60" w:before="60"/>
            </w:pPr>
            <w:r>
              <w:rPr>
                <w:rFonts w:ascii="Arial" w:hAnsi="Arial"/>
                <w:b/>
                <w:sz w:val="21"/>
              </w:rPr>
              <w:t>Следующее действие</w:t>
            </w:r>
          </w:p>
        </w:tc>
      </w:tr>
      <w:tr>
        <w:trPr>
          <w:cantSplit/>
        </w:trPr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Подтверждено по версии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Результат повторной сверки и адрес применённой редакции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Сохранить свидетельство; при затрагивающей новой версии проверить снова</w:t>
            </w:r>
          </w:p>
        </w:tc>
      </w:tr>
      <w:tr>
        <w:trPr>
          <w:cantSplit/>
        </w:trPr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Не исправлено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Действующий фрагмент доступен, расхождение сохраняется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Получить корректировку либо решение уполномоченного участника</w:t>
            </w:r>
          </w:p>
        </w:tc>
      </w:tr>
      <w:tr>
        <w:trPr>
          <w:cantSplit/>
        </w:trPr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Не проверено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Нужный фрагмент или версия недоступны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Запросить точный источник, не объявлять дефект установленным</w:t>
            </w:r>
          </w:p>
        </w:tc>
      </w:tr>
      <w:tr>
        <w:trPr>
          <w:cantSplit/>
        </w:trPr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Заявлено исключение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Есть сообщение «не применяется», но нет основания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Установить решение об исключении и проверить связанные ссылки</w:t>
            </w:r>
          </w:p>
        </w:tc>
      </w:tr>
      <w:tr>
        <w:trPr>
          <w:cantSplit/>
        </w:trPr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Карточка закрыта целиком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Все адреса разрешены; открытых связанных вопросов нет</w:t>
            </w:r>
          </w:p>
        </w:tc>
        <w:tc>
          <w:tcPr>
            <w:tcW w:type="dxa" w:w="3203"/>
          </w:tcPr>
          <w:p>
            <w:pPr>
              <w:spacing w:after="60" w:before="60"/>
            </w:pPr>
            <w:r>
              <w:rPr>
                <w:rFonts w:ascii="Arial" w:hAnsi="Arial"/>
                <w:b w:val="0"/>
                <w:sz w:val="21"/>
              </w:rPr>
              <w:t>Передать итоговую версию и перечень подтверждений</w:t>
            </w:r>
          </w:p>
        </w:tc>
      </w:tr>
    </w:tbl>
    <w:p>
      <w:r>
        <w:t>Фраза исполнителя «исправлено» означает поступившее заявление. Она не заменяет адресного повторного контроля.</w:t>
      </w:r>
    </w:p>
    <w:p>
      <w:pPr>
        <w:spacing w:after="180"/>
      </w:pPr>
      <w:r>
        <w:t>В курсе: Замечание закрыли наполовину: проверка нескольких адресов</w:t>
      </w:r>
    </w:p>
    <w:p>
      <w:pPr>
        <w:pStyle w:val="Heading1"/>
        <w:pageBreakBefore/>
      </w:pPr>
      <w:r>
        <w:t>Готовые запросы</w:t>
      </w:r>
    </w:p>
    <w:p>
      <w:r>
        <w:t>Замените поля в квадратных скобках своим учебным исходником. Прочитайте результат и выполните указанную проверку. На этапе упражнения не требуется загружать рабочие документы компании.</w:t>
      </w:r>
    </w:p>
    <w:p>
      <w:pPr>
        <w:pStyle w:val="Heading2"/>
      </w:pPr>
      <w:r>
        <w:t>Сопоставить один параметр двух фрагментов</w:t>
      </w:r>
    </w:p>
    <w:p>
      <w:r>
        <w:t>Когда использовать: В источниках похожие числа, но возможно различаются смысл размера или база.</w:t>
      </w:r>
    </w:p>
    <w:p>
      <w:pPr>
        <w:ind w:left="142"/>
      </w:pPr>
      <w:r>
        <w:t>Используй только следующие фрагменты: [документ, версия, адрес, текст]. Составь таблицу: объект; смысл показателя; исходное число и единица; система отсчёта; приведённое значение; выполненное преобразование. Отдели вычисленный факт от вопроса автору. Если базу, единицу или идентичность установить нельзя, сохрани пробел. Не выбирай действующий источник по одной дате и не объявляй техническую допустимость.</w:t>
      </w:r>
    </w:p>
    <w:p>
      <w:r>
        <w:rPr>
          <w:b/>
        </w:rPr>
        <w:t xml:space="preserve">Проверка результата. </w:t>
      </w:r>
      <w:r>
        <w:t>Вручную сверены адреса, точки приложения размеров и ключевое преобразование. Недостающие сведения не заполнены догадкой.</w:t>
      </w:r>
    </w:p>
    <w:p>
      <w:pPr>
        <w:pStyle w:val="Heading2"/>
      </w:pPr>
      <w:r>
        <w:t>Проверить извлечённую таблицу</w:t>
      </w:r>
    </w:p>
    <w:p>
      <w:r>
        <w:t>Когда использовать: Есть OCR-таблица с объединёнными ячейками, разными единицами или неясными символами.</w:t>
      </w:r>
    </w:p>
    <w:p>
      <w:pPr>
        <w:ind w:left="142"/>
      </w:pPr>
      <w:r>
        <w:t>Сравни извлечение [таблица] с переданным исходным фрагментом [фрагмент]. Верни только конкретные проблемы: адрес ячейки; что прочитано; что подтверждено; что неоднозначно; требуемое уточнение. Не считай пустую ячейку нулём. Восстанавливай объединённое значение только по видимой структуре. Не исправляй спорное число без отметки о неизвестном. Покажи, какие итоги нельзя пока подтвердить.</w:t>
      </w:r>
    </w:p>
    <w:p>
      <w:r>
        <w:rPr>
          <w:b/>
        </w:rPr>
        <w:t xml:space="preserve">Проверка результата. </w:t>
      </w:r>
      <w:r>
        <w:t>Проверены спорные ячейки по оригиналу. Итоги различают подтверждённый объём и неопределённую часть.</w:t>
      </w:r>
    </w:p>
    <w:p>
      <w:pPr>
        <w:pStyle w:val="Heading2"/>
      </w:pPr>
      <w:r>
        <w:t>Подготовить передачу частично закрытого замечания</w:t>
      </w:r>
    </w:p>
    <w:p>
      <w:r>
        <w:t>Когда использовать: Часть адресов исправлена, часть не проверена или требует решения.</w:t>
      </w:r>
    </w:p>
    <w:p>
      <w:pPr>
        <w:ind w:left="142"/>
      </w:pPr>
      <w:r>
        <w:t>На входе адресные результаты [список]. Подготовь текущую сводку: подтверждено по версии; не исправлено; не проверено; ожидает решения. Для каждого открытого пункта укажи конкретное действие и роль получателя. Не переноси подтверждение одного адреса на другие и не объявляй всю карточку закрытой. Отдельно перечисли условия, которые потребуют повторного контроля уже подтверждённых строк.</w:t>
      </w:r>
    </w:p>
    <w:p>
      <w:r>
        <w:rPr>
          <w:b/>
        </w:rPr>
        <w:t xml:space="preserve">Проверка результата. </w:t>
      </w:r>
      <w:r>
        <w:t>Каждый адрес сохранён ровно один раз; отсутствие источника не названо дефектом; общее закрытие не поставлено преждевременно.</w:t>
      </w:r>
    </w:p>
    <w:p>
      <w:pPr>
        <w:pStyle w:val="Heading1"/>
        <w:pageBreakBefore/>
      </w:pPr>
      <w:r>
        <w:t>Разобранный пример</w:t>
      </w:r>
    </w:p>
    <w:p>
      <w:pPr>
        <w:pStyle w:val="Heading2"/>
      </w:pPr>
      <w:r>
        <w:t>Задача</w:t>
      </w:r>
    </w:p>
    <w:p>
      <w:r>
        <w:t>Проверить геометрический объём двух учебных слоёв и влияние изменения площади.</w:t>
      </w:r>
    </w:p>
    <w:p>
      <w:pPr>
        <w:pStyle w:val="Heading2"/>
      </w:pPr>
      <w:r>
        <w:t>Все исходные условия</w:t>
      </w:r>
    </w:p>
    <w:p>
      <w:r>
        <w:t>Все условия вымышлены. Ведомость Г-4/r2: строка Z1 — 12 м², толщина 40 мм; строка Z2 — 18 м², толщина 5 см. Обе толщины относятся к одному равномерному слою в своей зоне. Потери и технологические коэффициенты не заданы. Новое подтверждение Г-4/r3: меняется только площадь Z2 на 20 м², остальные значения прежние.</w:t>
      </w:r>
    </w:p>
    <w:p>
      <w:pPr>
        <w:pStyle w:val="Heading2"/>
      </w:pPr>
      <w:r>
        <w:t>Запрос</w:t>
      </w:r>
    </w:p>
    <w:p>
      <w:r>
        <w:t>По переданным r2 и r3 переведи толщины в метры, рассчитай геометрический объём каждой зоны и общий итог. Покажи изменение по зоне. Сохрани адреса и единицы. Не называй итог готовым количеством для закупки или техническим решением; перечисли границу вывода.</w:t>
      </w:r>
    </w:p>
    <w:p>
      <w:pPr>
        <w:pStyle w:val="Heading2"/>
      </w:pPr>
      <w:r>
        <w:t>Проверенный учебный вариант</w:t>
      </w:r>
    </w:p>
    <w:p>
      <w:r>
        <w:t>r2: Z1 = 12 × 0,040 = 0,48 м³; Z2 = 18 × 0,050 = 0,90 м³; всего 1,38 м³. r3: Z1 остаётся 0,48 м³; Z2 = 20 × 0,050 = 1,00 м³; всего 1,48 м³. Изменение +0,10 м³ относится только к площади Z2. Это геометрические объёмы при заданной равномерной толщине, без расчёта потребности материала и технологических коэффициентов.</w:t>
      </w:r>
    </w:p>
    <w:p>
      <w:pPr>
        <w:pStyle w:val="Heading2"/>
      </w:pPr>
      <w:r>
        <w:t>Как проверить</w:t>
      </w:r>
    </w:p>
    <w:p>
      <w:r>
        <w:t>40 мм = 0,040 м; 5 см = 0,050 м. Разница площадей 2 м² × 0,050 м = 0,10 м³. Ни источник, ни единица не потеряны; нормативных требований и разрешения на применение не добавлено.</w:t>
      </w:r>
    </w:p>
    <w:sectPr w:rsidR="00FC693F" w:rsidRPr="0006063C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Шпаргалка: ИИ как помощник адресной проверки</dc:title>
  <dc:subject/>
  <dc:creator>Remiza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